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4E" w:rsidRPr="0000160B" w:rsidRDefault="00ED3652">
      <w:pPr>
        <w:rPr>
          <w:b/>
        </w:rPr>
      </w:pPr>
      <w:r w:rsidRPr="0000160B">
        <w:rPr>
          <w:b/>
        </w:rPr>
        <w:t xml:space="preserve">What is </w:t>
      </w:r>
      <w:proofErr w:type="spellStart"/>
      <w:r w:rsidRPr="0000160B">
        <w:rPr>
          <w:b/>
        </w:rPr>
        <w:t>CritterCare</w:t>
      </w:r>
      <w:proofErr w:type="spellEnd"/>
      <w:r w:rsidRPr="0000160B">
        <w:rPr>
          <w:b/>
        </w:rPr>
        <w:t>?</w:t>
      </w:r>
    </w:p>
    <w:p w:rsidR="00ED3652" w:rsidRDefault="00ED3652">
      <w:r>
        <w:tab/>
      </w:r>
      <w:proofErr w:type="spellStart"/>
      <w:r>
        <w:t>CritterCare</w:t>
      </w:r>
      <w:proofErr w:type="spellEnd"/>
      <w:r>
        <w:t xml:space="preserve"> is a yearly membership programme that allows you to spread the cost of your pet’s routine care, over the course of the year.  We debit </w:t>
      </w:r>
      <w:r>
        <w:tab/>
        <w:t xml:space="preserve">a specific amount of money, directly from your bank account either fortnightly or monthly, over 12 months, following an upfront payment made in </w:t>
      </w:r>
      <w:r>
        <w:tab/>
        <w:t xml:space="preserve">clinic.  </w:t>
      </w:r>
    </w:p>
    <w:p w:rsidR="00ED3652" w:rsidRDefault="00ED3652"/>
    <w:p w:rsidR="00ED3652" w:rsidRPr="0000160B" w:rsidRDefault="00ED3652">
      <w:pPr>
        <w:rPr>
          <w:b/>
        </w:rPr>
      </w:pPr>
      <w:r w:rsidRPr="0000160B">
        <w:rPr>
          <w:b/>
        </w:rPr>
        <w:t xml:space="preserve">Is </w:t>
      </w:r>
      <w:proofErr w:type="spellStart"/>
      <w:r w:rsidRPr="0000160B">
        <w:rPr>
          <w:b/>
        </w:rPr>
        <w:t>CritterCare</w:t>
      </w:r>
      <w:proofErr w:type="spellEnd"/>
      <w:r w:rsidRPr="0000160B">
        <w:rPr>
          <w:b/>
        </w:rPr>
        <w:t xml:space="preserve"> anything like pet insurance?</w:t>
      </w:r>
    </w:p>
    <w:p w:rsidR="00ED3652" w:rsidRDefault="00ED3652">
      <w:r>
        <w:tab/>
        <w:t xml:space="preserve">NO, absolutely not.  </w:t>
      </w:r>
      <w:proofErr w:type="spellStart"/>
      <w:r>
        <w:t>CritterCare</w:t>
      </w:r>
      <w:proofErr w:type="spellEnd"/>
      <w:r>
        <w:t xml:space="preserve"> was designed to make routine veterinary attention available to everyone without the potential ‘sticker shock’ that </w:t>
      </w:r>
      <w:r>
        <w:tab/>
        <w:t xml:space="preserve">comes with owning and caring for a pet.  Pet insurance is more geared towards the ‘what ifs?’ that can occur, such as accident and emergency, and </w:t>
      </w:r>
      <w:r>
        <w:tab/>
        <w:t>still require that you pay your veterinary bill, in full, before they reimburse you.</w:t>
      </w:r>
    </w:p>
    <w:p w:rsidR="00ED3652" w:rsidRDefault="00ED3652"/>
    <w:p w:rsidR="00ED3652" w:rsidRPr="0000160B" w:rsidRDefault="00ED3652">
      <w:pPr>
        <w:rPr>
          <w:b/>
        </w:rPr>
      </w:pPr>
      <w:r w:rsidRPr="0000160B">
        <w:rPr>
          <w:b/>
        </w:rPr>
        <w:t>What if I like the concept, but don’t want to give you my bank details?</w:t>
      </w:r>
    </w:p>
    <w:p w:rsidR="00ED3652" w:rsidRDefault="00ED3652">
      <w:r>
        <w:tab/>
        <w:t>You are more than welcome to pay the entire fee upfront, which will remove the need for any financial documentation.</w:t>
      </w:r>
    </w:p>
    <w:p w:rsidR="00ED3652" w:rsidRDefault="00ED3652"/>
    <w:p w:rsidR="00ED3652" w:rsidRPr="0000160B" w:rsidRDefault="00ED3652">
      <w:pPr>
        <w:rPr>
          <w:b/>
        </w:rPr>
      </w:pPr>
      <w:r w:rsidRPr="0000160B">
        <w:rPr>
          <w:b/>
        </w:rPr>
        <w:t xml:space="preserve">Are there any restrictions or requirements for joining </w:t>
      </w:r>
      <w:proofErr w:type="spellStart"/>
      <w:r w:rsidRPr="0000160B">
        <w:rPr>
          <w:b/>
        </w:rPr>
        <w:t>CritterCare</w:t>
      </w:r>
      <w:proofErr w:type="spellEnd"/>
      <w:r w:rsidRPr="0000160B">
        <w:rPr>
          <w:b/>
        </w:rPr>
        <w:t>?</w:t>
      </w:r>
    </w:p>
    <w:p w:rsidR="00ED3652" w:rsidRDefault="00ED3652">
      <w:r>
        <w:tab/>
        <w:t>Of course!  Over the years, we have discovered what works, and what doesn’t, as such, the following major rules apply</w:t>
      </w:r>
      <w:r w:rsidR="0000160B">
        <w:t xml:space="preserve">, however there are many </w:t>
      </w:r>
      <w:r w:rsidR="0000160B">
        <w:tab/>
        <w:t>more than this</w:t>
      </w:r>
      <w:r>
        <w:t>:</w:t>
      </w:r>
    </w:p>
    <w:p w:rsidR="00ED3652" w:rsidRDefault="00ED3652" w:rsidP="00ED3652">
      <w:pPr>
        <w:pStyle w:val="ListParagraph"/>
        <w:numPr>
          <w:ilvl w:val="0"/>
          <w:numId w:val="1"/>
        </w:numPr>
      </w:pPr>
      <w:r>
        <w:t>You must have valid photo ID and be prepared for us to take a copy of said ID.  This ID must have your current address on it.</w:t>
      </w:r>
    </w:p>
    <w:p w:rsidR="00ED3652" w:rsidRDefault="00ED3652" w:rsidP="00ED3652">
      <w:pPr>
        <w:pStyle w:val="ListParagraph"/>
        <w:numPr>
          <w:ilvl w:val="0"/>
          <w:numId w:val="1"/>
        </w:numPr>
      </w:pPr>
      <w:r>
        <w:t>You must be over 18 years of age</w:t>
      </w:r>
    </w:p>
    <w:p w:rsidR="00ED3652" w:rsidRDefault="00ED3652" w:rsidP="00ED3652">
      <w:pPr>
        <w:pStyle w:val="ListParagraph"/>
        <w:numPr>
          <w:ilvl w:val="0"/>
          <w:numId w:val="1"/>
        </w:numPr>
      </w:pPr>
      <w:r>
        <w:t xml:space="preserve">You must reside, and be able to show proof that you reside </w:t>
      </w:r>
      <w:r w:rsidR="0000160B">
        <w:t>within the 4655 post code</w:t>
      </w:r>
    </w:p>
    <w:p w:rsidR="0000160B" w:rsidRDefault="0000160B" w:rsidP="00ED3652">
      <w:pPr>
        <w:pStyle w:val="ListParagraph"/>
        <w:numPr>
          <w:ilvl w:val="0"/>
          <w:numId w:val="1"/>
        </w:numPr>
      </w:pPr>
      <w:r>
        <w:t>You must be able to show proof of the details for the bank account being debited.  We don’t need transaction history, just proof of the BSB and account number for accuracy</w:t>
      </w:r>
    </w:p>
    <w:p w:rsidR="0000160B" w:rsidRDefault="0000160B" w:rsidP="0000160B">
      <w:pPr>
        <w:pStyle w:val="ListParagraph"/>
        <w:numPr>
          <w:ilvl w:val="0"/>
          <w:numId w:val="1"/>
        </w:numPr>
      </w:pPr>
      <w:r>
        <w:t xml:space="preserve">If you have been a member in the past, and have bounced or dishonoured payments, you will not be permitted to </w:t>
      </w:r>
      <w:proofErr w:type="spellStart"/>
      <w:r>
        <w:t>rejoin</w:t>
      </w:r>
      <w:proofErr w:type="spellEnd"/>
    </w:p>
    <w:p w:rsidR="008D193A" w:rsidRDefault="008D193A" w:rsidP="0000160B">
      <w:pPr>
        <w:pStyle w:val="ListParagraph"/>
        <w:numPr>
          <w:ilvl w:val="0"/>
          <w:numId w:val="1"/>
        </w:numPr>
      </w:pPr>
      <w:r>
        <w:t>If you are on a Basics programme, you are required to bring your pet in every 3 months to obtain your preventatives</w:t>
      </w:r>
    </w:p>
    <w:p w:rsidR="0000160B" w:rsidRDefault="0000160B" w:rsidP="0000160B">
      <w:pPr>
        <w:pStyle w:val="ListParagraph"/>
      </w:pPr>
    </w:p>
    <w:p w:rsidR="0000160B" w:rsidRDefault="0000160B" w:rsidP="0000160B">
      <w:pPr>
        <w:pStyle w:val="ListParagraph"/>
        <w:jc w:val="center"/>
        <w:rPr>
          <w:b/>
        </w:rPr>
      </w:pPr>
      <w:r w:rsidRPr="0000160B">
        <w:rPr>
          <w:b/>
        </w:rPr>
        <w:t>COMPLETE TERMS AND CONDITIONS ARE CONTAINED WITHIN A PDF AT THE BOTTOM OF THIS PAGE</w:t>
      </w:r>
      <w:r>
        <w:rPr>
          <w:b/>
        </w:rPr>
        <w:t xml:space="preserve"> AND IT IS STRONGLY RECOMMENDED THAT YOU READ THIS DOCUMENT CAREFULLY</w:t>
      </w:r>
      <w:r w:rsidRPr="0000160B">
        <w:rPr>
          <w:b/>
        </w:rPr>
        <w:t>.</w:t>
      </w:r>
    </w:p>
    <w:p w:rsidR="0000160B" w:rsidRDefault="0000160B" w:rsidP="0000160B">
      <w:pPr>
        <w:pStyle w:val="ListParagraph"/>
        <w:jc w:val="center"/>
        <w:rPr>
          <w:b/>
        </w:rPr>
      </w:pPr>
    </w:p>
    <w:p w:rsidR="0000160B" w:rsidRDefault="0000160B" w:rsidP="0000160B">
      <w:pPr>
        <w:pStyle w:val="ListParagraph"/>
        <w:ind w:left="0"/>
        <w:rPr>
          <w:b/>
        </w:rPr>
      </w:pPr>
      <w:r>
        <w:rPr>
          <w:b/>
        </w:rPr>
        <w:t>Is there just one programme and I can pick and choose, or are they structured?</w:t>
      </w:r>
    </w:p>
    <w:p w:rsidR="0000160B" w:rsidRDefault="0000160B" w:rsidP="0000160B">
      <w:pPr>
        <w:pStyle w:val="ListParagraph"/>
      </w:pPr>
      <w:r>
        <w:t xml:space="preserve">There are three total programmed, each consisting of a different level of care, depending on what your pet needs.  Our juvenile programme includes </w:t>
      </w:r>
      <w:proofErr w:type="spellStart"/>
      <w:r>
        <w:t>desexing</w:t>
      </w:r>
      <w:proofErr w:type="spellEnd"/>
      <w:r>
        <w:t>, our adult programme includes dentistry, and our preventative programmes provide your pet with flea, tick, heartworm and intestinal worm treatments.  The programmes are as follows:</w:t>
      </w:r>
    </w:p>
    <w:p w:rsidR="0000160B" w:rsidRDefault="0000160B" w:rsidP="0000160B">
      <w:pPr>
        <w:pStyle w:val="ListParagraph"/>
        <w:jc w:val="center"/>
      </w:pPr>
    </w:p>
    <w:p w:rsidR="0000160B" w:rsidRDefault="0000160B" w:rsidP="0000160B">
      <w:pPr>
        <w:pStyle w:val="ListParagraph"/>
        <w:jc w:val="center"/>
      </w:pPr>
    </w:p>
    <w:p w:rsidR="0000160B" w:rsidRDefault="0000160B" w:rsidP="0000160B">
      <w:pPr>
        <w:pStyle w:val="ListParagraph"/>
        <w:jc w:val="center"/>
      </w:pPr>
    </w:p>
    <w:p w:rsidR="0000160B" w:rsidRPr="002F52B9" w:rsidRDefault="0000160B" w:rsidP="0000160B">
      <w:pPr>
        <w:pStyle w:val="ListParagraph"/>
        <w:jc w:val="center"/>
        <w:rPr>
          <w:b/>
        </w:rPr>
      </w:pPr>
      <w:r w:rsidRPr="002F52B9">
        <w:rPr>
          <w:b/>
        </w:rPr>
        <w:t>CRITTER CARE PROGRAMMES</w:t>
      </w:r>
    </w:p>
    <w:tbl>
      <w:tblPr>
        <w:tblStyle w:val="TableGrid"/>
        <w:tblW w:w="0" w:type="auto"/>
        <w:tblInd w:w="720" w:type="dxa"/>
        <w:tblLook w:val="04A0" w:firstRow="1" w:lastRow="0" w:firstColumn="1" w:lastColumn="0" w:noHBand="0" w:noVBand="1"/>
      </w:tblPr>
      <w:tblGrid>
        <w:gridCol w:w="7043"/>
        <w:gridCol w:w="1276"/>
        <w:gridCol w:w="1275"/>
        <w:gridCol w:w="1276"/>
        <w:gridCol w:w="1276"/>
        <w:gridCol w:w="1308"/>
      </w:tblGrid>
      <w:tr w:rsidR="00160911" w:rsidTr="00160911">
        <w:tc>
          <w:tcPr>
            <w:tcW w:w="7043" w:type="dxa"/>
          </w:tcPr>
          <w:p w:rsidR="00160911" w:rsidRDefault="00160911" w:rsidP="00160911">
            <w:pPr>
              <w:pStyle w:val="ListParagraph"/>
              <w:ind w:left="0"/>
            </w:pPr>
          </w:p>
        </w:tc>
        <w:tc>
          <w:tcPr>
            <w:tcW w:w="1276" w:type="dxa"/>
          </w:tcPr>
          <w:p w:rsidR="00160911" w:rsidRDefault="00160911" w:rsidP="0000160B">
            <w:pPr>
              <w:pStyle w:val="ListParagraph"/>
              <w:ind w:left="0"/>
              <w:jc w:val="center"/>
            </w:pPr>
            <w:proofErr w:type="spellStart"/>
            <w:r>
              <w:t>Juvenille</w:t>
            </w:r>
            <w:proofErr w:type="spellEnd"/>
            <w:r>
              <w:t xml:space="preserve"> </w:t>
            </w:r>
          </w:p>
          <w:p w:rsidR="00160911" w:rsidRDefault="00160911" w:rsidP="0000160B">
            <w:pPr>
              <w:pStyle w:val="ListParagraph"/>
              <w:ind w:left="0"/>
              <w:jc w:val="center"/>
            </w:pPr>
            <w:r>
              <w:t>Plan</w:t>
            </w:r>
          </w:p>
        </w:tc>
        <w:tc>
          <w:tcPr>
            <w:tcW w:w="1275" w:type="dxa"/>
          </w:tcPr>
          <w:p w:rsidR="00160911" w:rsidRDefault="00160911" w:rsidP="0000160B">
            <w:pPr>
              <w:pStyle w:val="ListParagraph"/>
              <w:ind w:left="0"/>
              <w:jc w:val="center"/>
            </w:pPr>
            <w:r>
              <w:t xml:space="preserve">Adult </w:t>
            </w:r>
          </w:p>
          <w:p w:rsidR="00160911" w:rsidRDefault="00160911" w:rsidP="0000160B">
            <w:pPr>
              <w:pStyle w:val="ListParagraph"/>
              <w:ind w:left="0"/>
              <w:jc w:val="center"/>
            </w:pPr>
            <w:r>
              <w:t>Plan</w:t>
            </w:r>
          </w:p>
        </w:tc>
        <w:tc>
          <w:tcPr>
            <w:tcW w:w="1276" w:type="dxa"/>
          </w:tcPr>
          <w:p w:rsidR="00160911" w:rsidRDefault="00160911" w:rsidP="0000160B">
            <w:pPr>
              <w:pStyle w:val="ListParagraph"/>
              <w:ind w:left="0"/>
              <w:jc w:val="center"/>
            </w:pPr>
            <w:r>
              <w:t xml:space="preserve">Canine </w:t>
            </w:r>
          </w:p>
          <w:p w:rsidR="00160911" w:rsidRDefault="00160911" w:rsidP="0000160B">
            <w:pPr>
              <w:pStyle w:val="ListParagraph"/>
              <w:ind w:left="0"/>
              <w:jc w:val="center"/>
            </w:pPr>
            <w:r>
              <w:t>Basics One</w:t>
            </w:r>
          </w:p>
        </w:tc>
        <w:tc>
          <w:tcPr>
            <w:tcW w:w="1276" w:type="dxa"/>
          </w:tcPr>
          <w:p w:rsidR="00160911" w:rsidRDefault="00160911" w:rsidP="0000160B">
            <w:pPr>
              <w:pStyle w:val="ListParagraph"/>
              <w:ind w:left="0"/>
              <w:jc w:val="center"/>
            </w:pPr>
            <w:r>
              <w:t xml:space="preserve">Canine </w:t>
            </w:r>
          </w:p>
          <w:p w:rsidR="00160911" w:rsidRDefault="00160911" w:rsidP="0000160B">
            <w:pPr>
              <w:pStyle w:val="ListParagraph"/>
              <w:ind w:left="0"/>
              <w:jc w:val="center"/>
            </w:pPr>
            <w:r>
              <w:t>Basics Two</w:t>
            </w:r>
          </w:p>
        </w:tc>
        <w:tc>
          <w:tcPr>
            <w:tcW w:w="1308" w:type="dxa"/>
          </w:tcPr>
          <w:p w:rsidR="00160911" w:rsidRDefault="00160911" w:rsidP="0000160B">
            <w:pPr>
              <w:pStyle w:val="ListParagraph"/>
              <w:ind w:left="0"/>
              <w:jc w:val="center"/>
            </w:pPr>
            <w:r>
              <w:t xml:space="preserve">Feline </w:t>
            </w:r>
          </w:p>
          <w:p w:rsidR="00160911" w:rsidRDefault="00160911" w:rsidP="0000160B">
            <w:pPr>
              <w:pStyle w:val="ListParagraph"/>
              <w:ind w:left="0"/>
              <w:jc w:val="center"/>
            </w:pPr>
            <w:r>
              <w:t>Basics</w:t>
            </w:r>
          </w:p>
        </w:tc>
      </w:tr>
      <w:tr w:rsidR="00160911" w:rsidTr="00160911">
        <w:tc>
          <w:tcPr>
            <w:tcW w:w="7043" w:type="dxa"/>
          </w:tcPr>
          <w:p w:rsidR="00160911" w:rsidRDefault="00160911" w:rsidP="00160911">
            <w:pPr>
              <w:pStyle w:val="ListParagraph"/>
              <w:ind w:left="0"/>
            </w:pPr>
            <w:r>
              <w:t>Unlimited Consultations during business hours</w:t>
            </w:r>
          </w:p>
          <w:p w:rsidR="00160911" w:rsidRDefault="00160911" w:rsidP="00160911">
            <w:pPr>
              <w:pStyle w:val="ListParagraph"/>
              <w:numPr>
                <w:ilvl w:val="0"/>
                <w:numId w:val="2"/>
              </w:numPr>
            </w:pPr>
            <w:r>
              <w:t>Comprehensive examination</w:t>
            </w:r>
          </w:p>
          <w:p w:rsidR="00160911" w:rsidRDefault="00160911" w:rsidP="00160911">
            <w:pPr>
              <w:pStyle w:val="ListParagraph"/>
              <w:numPr>
                <w:ilvl w:val="0"/>
                <w:numId w:val="2"/>
              </w:numPr>
            </w:pPr>
            <w:r>
              <w:t>Recheck examination</w:t>
            </w:r>
          </w:p>
          <w:p w:rsidR="00160911" w:rsidRDefault="00160911" w:rsidP="00160911">
            <w:pPr>
              <w:pStyle w:val="ListParagraph"/>
              <w:numPr>
                <w:ilvl w:val="0"/>
                <w:numId w:val="2"/>
              </w:numPr>
            </w:pPr>
            <w:r>
              <w:t>Brief examination</w:t>
            </w:r>
          </w:p>
          <w:p w:rsidR="00160911" w:rsidRDefault="00160911" w:rsidP="00160911">
            <w:r>
              <w:t>DOES NOT COVER AFTERHOURS CONSULTATION FEES</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308" w:type="dxa"/>
          </w:tcPr>
          <w:p w:rsidR="00160911" w:rsidRDefault="002F52B9" w:rsidP="0000160B">
            <w:pPr>
              <w:pStyle w:val="ListParagraph"/>
              <w:ind w:left="0"/>
              <w:jc w:val="center"/>
            </w:pPr>
            <w:r>
              <w:t>X</w:t>
            </w:r>
          </w:p>
        </w:tc>
      </w:tr>
      <w:tr w:rsidR="00160911" w:rsidTr="00160911">
        <w:tc>
          <w:tcPr>
            <w:tcW w:w="7043" w:type="dxa"/>
          </w:tcPr>
          <w:p w:rsidR="00160911" w:rsidRDefault="00160911" w:rsidP="00160911">
            <w:pPr>
              <w:pStyle w:val="ListParagraph"/>
              <w:ind w:left="0"/>
            </w:pPr>
            <w:r>
              <w:t>Microchipping (if not already microchipped)</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308" w:type="dxa"/>
          </w:tcPr>
          <w:p w:rsidR="00160911" w:rsidRDefault="002F52B9" w:rsidP="0000160B">
            <w:pPr>
              <w:pStyle w:val="ListParagraph"/>
              <w:ind w:left="0"/>
              <w:jc w:val="center"/>
            </w:pPr>
            <w:r>
              <w:t>x</w:t>
            </w:r>
          </w:p>
        </w:tc>
      </w:tr>
      <w:tr w:rsidR="00160911" w:rsidTr="00160911">
        <w:tc>
          <w:tcPr>
            <w:tcW w:w="7043" w:type="dxa"/>
          </w:tcPr>
          <w:p w:rsidR="00160911" w:rsidRDefault="00160911" w:rsidP="00160911">
            <w:pPr>
              <w:pStyle w:val="ListParagraph"/>
              <w:ind w:left="0"/>
            </w:pPr>
            <w:r>
              <w:t>Vaccination</w:t>
            </w:r>
          </w:p>
          <w:p w:rsidR="00160911" w:rsidRDefault="00160911" w:rsidP="00160911">
            <w:pPr>
              <w:pStyle w:val="ListParagraph"/>
              <w:numPr>
                <w:ilvl w:val="0"/>
                <w:numId w:val="2"/>
              </w:numPr>
            </w:pPr>
            <w:r>
              <w:t>Annual/routine vaccination (once per 12 months)</w:t>
            </w:r>
          </w:p>
          <w:p w:rsidR="00160911" w:rsidRDefault="00160911" w:rsidP="00160911">
            <w:pPr>
              <w:pStyle w:val="ListParagraph"/>
              <w:numPr>
                <w:ilvl w:val="0"/>
                <w:numId w:val="2"/>
              </w:numPr>
            </w:pPr>
            <w:r>
              <w:t>Puppy or kitten series (initial series of up to 3 injections, 4 weeks apart at onset of plan)</w:t>
            </w:r>
          </w:p>
          <w:p w:rsidR="00160911" w:rsidRDefault="00160911" w:rsidP="00160911">
            <w:r>
              <w:t>DOES NOT INCLUDE PROHEART INJECTION – This is a preventative.</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308" w:type="dxa"/>
          </w:tcPr>
          <w:p w:rsidR="00160911" w:rsidRDefault="002F52B9" w:rsidP="0000160B">
            <w:pPr>
              <w:pStyle w:val="ListParagraph"/>
              <w:ind w:left="0"/>
              <w:jc w:val="center"/>
            </w:pPr>
            <w:r>
              <w:t>X</w:t>
            </w:r>
          </w:p>
        </w:tc>
      </w:tr>
      <w:tr w:rsidR="00160911" w:rsidTr="00160911">
        <w:tc>
          <w:tcPr>
            <w:tcW w:w="7043" w:type="dxa"/>
          </w:tcPr>
          <w:p w:rsidR="00160911" w:rsidRDefault="00160911" w:rsidP="00160911">
            <w:pPr>
              <w:pStyle w:val="ListParagraph"/>
              <w:ind w:left="0"/>
            </w:pPr>
            <w:r>
              <w:t>Unlimited Nail clipping</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308" w:type="dxa"/>
          </w:tcPr>
          <w:p w:rsidR="00160911" w:rsidRDefault="002F52B9" w:rsidP="0000160B">
            <w:pPr>
              <w:pStyle w:val="ListParagraph"/>
              <w:ind w:left="0"/>
              <w:jc w:val="center"/>
            </w:pPr>
            <w:r>
              <w:t>x</w:t>
            </w:r>
          </w:p>
        </w:tc>
      </w:tr>
      <w:tr w:rsidR="00160911" w:rsidTr="002F52B9">
        <w:tc>
          <w:tcPr>
            <w:tcW w:w="7043" w:type="dxa"/>
          </w:tcPr>
          <w:p w:rsidR="00160911" w:rsidRDefault="00160911" w:rsidP="00160911">
            <w:pPr>
              <w:pStyle w:val="ListParagraph"/>
              <w:ind w:left="0"/>
            </w:pPr>
            <w:r>
              <w:t>Unlimited Anal gland expression</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2F52B9">
        <w:tc>
          <w:tcPr>
            <w:tcW w:w="7043" w:type="dxa"/>
          </w:tcPr>
          <w:p w:rsidR="00160911" w:rsidRDefault="008D193A" w:rsidP="00160911">
            <w:pPr>
              <w:pStyle w:val="ListParagraph"/>
              <w:ind w:left="0"/>
            </w:pPr>
            <w:proofErr w:type="spellStart"/>
            <w:r>
              <w:t>Preanaesthetic</w:t>
            </w:r>
            <w:proofErr w:type="spellEnd"/>
            <w:r>
              <w:t xml:space="preserve"> Blood T</w:t>
            </w:r>
            <w:r w:rsidR="00160911">
              <w:t>esting (once per 12 months)</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2F52B9">
        <w:tc>
          <w:tcPr>
            <w:tcW w:w="7043" w:type="dxa"/>
          </w:tcPr>
          <w:p w:rsidR="00160911" w:rsidRDefault="00160911" w:rsidP="00160911">
            <w:pPr>
              <w:pStyle w:val="ListParagraph"/>
              <w:ind w:left="0"/>
            </w:pPr>
            <w:r>
              <w:t>Urine Analysis</w:t>
            </w:r>
            <w:r w:rsidR="008D193A">
              <w:t xml:space="preserve"> (once per 12 months)</w:t>
            </w:r>
          </w:p>
          <w:p w:rsidR="00160911" w:rsidRDefault="00160911" w:rsidP="00160911">
            <w:pPr>
              <w:pStyle w:val="ListParagraph"/>
              <w:numPr>
                <w:ilvl w:val="0"/>
                <w:numId w:val="2"/>
              </w:numPr>
            </w:pPr>
            <w:r>
              <w:t>Urine specific gravity</w:t>
            </w:r>
          </w:p>
          <w:p w:rsidR="008D193A" w:rsidRDefault="008D193A" w:rsidP="00160911">
            <w:pPr>
              <w:pStyle w:val="ListParagraph"/>
              <w:numPr>
                <w:ilvl w:val="0"/>
                <w:numId w:val="2"/>
              </w:numPr>
            </w:pPr>
            <w:r>
              <w:t>Dipstick screening</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2F52B9">
        <w:tc>
          <w:tcPr>
            <w:tcW w:w="7043" w:type="dxa"/>
          </w:tcPr>
          <w:p w:rsidR="00160911" w:rsidRDefault="008D193A" w:rsidP="00160911">
            <w:pPr>
              <w:pStyle w:val="ListParagraph"/>
              <w:ind w:left="0"/>
            </w:pPr>
            <w:r>
              <w:t>Microscopic Faecal Examination (once per 12 months)</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2F52B9">
        <w:tc>
          <w:tcPr>
            <w:tcW w:w="7043" w:type="dxa"/>
          </w:tcPr>
          <w:p w:rsidR="00160911" w:rsidRDefault="008D193A" w:rsidP="00160911">
            <w:pPr>
              <w:pStyle w:val="ListParagraph"/>
              <w:ind w:left="0"/>
            </w:pPr>
            <w:r>
              <w:t xml:space="preserve">Surgery - Routine </w:t>
            </w:r>
            <w:proofErr w:type="spellStart"/>
            <w:r>
              <w:t>desexing</w:t>
            </w:r>
            <w:proofErr w:type="spellEnd"/>
          </w:p>
          <w:p w:rsidR="008D193A" w:rsidRDefault="008D193A" w:rsidP="008D193A">
            <w:pPr>
              <w:pStyle w:val="ListParagraph"/>
              <w:numPr>
                <w:ilvl w:val="0"/>
                <w:numId w:val="2"/>
              </w:numPr>
            </w:pPr>
            <w:r>
              <w:t>Preoperative examination</w:t>
            </w:r>
          </w:p>
          <w:p w:rsidR="008D193A" w:rsidRDefault="008D193A" w:rsidP="008D193A">
            <w:pPr>
              <w:pStyle w:val="ListParagraph"/>
              <w:numPr>
                <w:ilvl w:val="0"/>
                <w:numId w:val="2"/>
              </w:numPr>
            </w:pPr>
            <w:r>
              <w:t>Premedication and preoperative pain control</w:t>
            </w:r>
          </w:p>
          <w:p w:rsidR="008D193A" w:rsidRDefault="008D193A" w:rsidP="008D193A">
            <w:pPr>
              <w:pStyle w:val="ListParagraph"/>
              <w:numPr>
                <w:ilvl w:val="0"/>
                <w:numId w:val="2"/>
              </w:numPr>
            </w:pPr>
            <w:r>
              <w:t>Intravenous fluid therapy</w:t>
            </w:r>
          </w:p>
          <w:p w:rsidR="008D193A" w:rsidRDefault="008D193A" w:rsidP="008D193A">
            <w:pPr>
              <w:pStyle w:val="ListParagraph"/>
              <w:numPr>
                <w:ilvl w:val="0"/>
                <w:numId w:val="2"/>
              </w:numPr>
            </w:pPr>
            <w:r>
              <w:t xml:space="preserve">Routine </w:t>
            </w:r>
            <w:proofErr w:type="spellStart"/>
            <w:r>
              <w:t>spey</w:t>
            </w:r>
            <w:proofErr w:type="spellEnd"/>
            <w:r>
              <w:t xml:space="preserve"> or neuter</w:t>
            </w:r>
          </w:p>
          <w:p w:rsidR="008D193A" w:rsidRDefault="008D193A" w:rsidP="008D193A">
            <w:pPr>
              <w:pStyle w:val="ListParagraph"/>
              <w:numPr>
                <w:ilvl w:val="0"/>
                <w:numId w:val="2"/>
              </w:numPr>
            </w:pPr>
            <w:r>
              <w:t>Intraoperative antibiotics and pain relief</w:t>
            </w:r>
          </w:p>
          <w:p w:rsidR="008D193A" w:rsidRDefault="008D193A" w:rsidP="008D193A">
            <w:pPr>
              <w:pStyle w:val="ListParagraph"/>
              <w:numPr>
                <w:ilvl w:val="0"/>
                <w:numId w:val="2"/>
              </w:numPr>
            </w:pPr>
            <w:r>
              <w:t>Take home pain relief</w:t>
            </w:r>
          </w:p>
          <w:p w:rsidR="008D193A" w:rsidRDefault="008D193A" w:rsidP="008D193A">
            <w:pPr>
              <w:pStyle w:val="ListParagraph"/>
              <w:numPr>
                <w:ilvl w:val="0"/>
                <w:numId w:val="2"/>
              </w:numPr>
            </w:pPr>
            <w:r>
              <w:t>E-collar (bucket/cone)</w:t>
            </w:r>
          </w:p>
          <w:p w:rsidR="008D193A" w:rsidRDefault="008D193A" w:rsidP="008D193A">
            <w:r>
              <w:t>SURCHARGE APPLIES FOR IN-SEASON, PREGNANT OR CRYPTORCHID PATIENTS</w:t>
            </w:r>
          </w:p>
        </w:tc>
        <w:tc>
          <w:tcPr>
            <w:tcW w:w="1276" w:type="dxa"/>
          </w:tcPr>
          <w:p w:rsidR="00160911" w:rsidRDefault="002F52B9" w:rsidP="0000160B">
            <w:pPr>
              <w:pStyle w:val="ListParagraph"/>
              <w:ind w:left="0"/>
              <w:jc w:val="center"/>
            </w:pPr>
            <w:r>
              <w:t>X</w:t>
            </w:r>
          </w:p>
        </w:tc>
        <w:tc>
          <w:tcPr>
            <w:tcW w:w="1275" w:type="dxa"/>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2F52B9">
        <w:tc>
          <w:tcPr>
            <w:tcW w:w="7043" w:type="dxa"/>
          </w:tcPr>
          <w:p w:rsidR="00160911" w:rsidRDefault="008D193A" w:rsidP="00160911">
            <w:pPr>
              <w:pStyle w:val="ListParagraph"/>
              <w:ind w:left="0"/>
            </w:pPr>
            <w:r>
              <w:lastRenderedPageBreak/>
              <w:t>Surgery - Dentistry</w:t>
            </w:r>
          </w:p>
          <w:p w:rsidR="008D193A" w:rsidRDefault="008D193A" w:rsidP="008D193A">
            <w:pPr>
              <w:pStyle w:val="ListParagraph"/>
              <w:numPr>
                <w:ilvl w:val="0"/>
                <w:numId w:val="2"/>
              </w:numPr>
            </w:pPr>
            <w:r>
              <w:t>Preoperative examination</w:t>
            </w:r>
          </w:p>
          <w:p w:rsidR="008D193A" w:rsidRDefault="008D193A" w:rsidP="008D193A">
            <w:pPr>
              <w:pStyle w:val="ListParagraph"/>
              <w:numPr>
                <w:ilvl w:val="0"/>
                <w:numId w:val="2"/>
              </w:numPr>
            </w:pPr>
            <w:r>
              <w:t>Premedication and preoperative pain control</w:t>
            </w:r>
          </w:p>
          <w:p w:rsidR="008D193A" w:rsidRDefault="008D193A" w:rsidP="008D193A">
            <w:pPr>
              <w:pStyle w:val="ListParagraph"/>
              <w:numPr>
                <w:ilvl w:val="0"/>
                <w:numId w:val="2"/>
              </w:numPr>
            </w:pPr>
            <w:r>
              <w:t>Intravenous fluid therapy</w:t>
            </w:r>
          </w:p>
          <w:p w:rsidR="008D193A" w:rsidRDefault="008D193A" w:rsidP="008D193A">
            <w:pPr>
              <w:pStyle w:val="ListParagraph"/>
              <w:numPr>
                <w:ilvl w:val="0"/>
                <w:numId w:val="2"/>
              </w:numPr>
            </w:pPr>
            <w:r>
              <w:t xml:space="preserve">Routine </w:t>
            </w:r>
            <w:r>
              <w:t>dental prophylaxis – scaling and polishing of teeth</w:t>
            </w:r>
          </w:p>
          <w:p w:rsidR="008D193A" w:rsidRDefault="008D193A" w:rsidP="008D193A">
            <w:r>
              <w:t>DOES NOT INCLUDE MEDICATIONS OR EXTRACTIONS</w:t>
            </w:r>
          </w:p>
        </w:tc>
        <w:tc>
          <w:tcPr>
            <w:tcW w:w="1276" w:type="dxa"/>
            <w:shd w:val="clear" w:color="auto" w:fill="D9D9D9" w:themeFill="background1" w:themeFillShade="D9"/>
          </w:tcPr>
          <w:p w:rsidR="00160911" w:rsidRDefault="00160911" w:rsidP="0000160B">
            <w:pPr>
              <w:pStyle w:val="ListParagraph"/>
              <w:ind w:left="0"/>
              <w:jc w:val="center"/>
            </w:pPr>
          </w:p>
        </w:tc>
        <w:tc>
          <w:tcPr>
            <w:tcW w:w="1275" w:type="dxa"/>
          </w:tcPr>
          <w:p w:rsidR="00160911" w:rsidRDefault="002F52B9" w:rsidP="0000160B">
            <w:pPr>
              <w:pStyle w:val="ListParagraph"/>
              <w:ind w:left="0"/>
              <w:jc w:val="center"/>
            </w:pPr>
            <w:r>
              <w:t>X</w:t>
            </w: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160911">
        <w:tc>
          <w:tcPr>
            <w:tcW w:w="7043" w:type="dxa"/>
          </w:tcPr>
          <w:p w:rsidR="00160911" w:rsidRDefault="008D193A" w:rsidP="00160911">
            <w:pPr>
              <w:pStyle w:val="ListParagraph"/>
              <w:ind w:left="0"/>
            </w:pPr>
            <w:r>
              <w:t>20% Discount on the following:</w:t>
            </w:r>
          </w:p>
          <w:p w:rsidR="008D193A" w:rsidRDefault="008D193A" w:rsidP="008D193A">
            <w:pPr>
              <w:pStyle w:val="ListParagraph"/>
              <w:numPr>
                <w:ilvl w:val="0"/>
                <w:numId w:val="2"/>
              </w:numPr>
            </w:pPr>
            <w:proofErr w:type="spellStart"/>
            <w:r>
              <w:t>Proheart</w:t>
            </w:r>
            <w:proofErr w:type="spellEnd"/>
            <w:r>
              <w:t xml:space="preserve"> Injection (unless </w:t>
            </w:r>
            <w:r w:rsidR="002F52B9">
              <w:t>on a basics plan</w:t>
            </w:r>
            <w:r>
              <w:t>)</w:t>
            </w:r>
          </w:p>
          <w:p w:rsidR="008D193A" w:rsidRDefault="008D193A" w:rsidP="008D193A">
            <w:pPr>
              <w:pStyle w:val="ListParagraph"/>
              <w:numPr>
                <w:ilvl w:val="0"/>
                <w:numId w:val="2"/>
              </w:numPr>
            </w:pPr>
            <w:r>
              <w:t>Food</w:t>
            </w:r>
          </w:p>
          <w:p w:rsidR="008D193A" w:rsidRDefault="008D193A" w:rsidP="008D193A">
            <w:pPr>
              <w:pStyle w:val="ListParagraph"/>
              <w:numPr>
                <w:ilvl w:val="0"/>
                <w:numId w:val="2"/>
              </w:numPr>
            </w:pPr>
            <w:r>
              <w:t>Flea, tick and worm preventatives</w:t>
            </w:r>
            <w:r w:rsidR="002F52B9">
              <w:t xml:space="preserve"> (including </w:t>
            </w:r>
            <w:proofErr w:type="spellStart"/>
            <w:r w:rsidR="002F52B9">
              <w:t>heartworming</w:t>
            </w:r>
            <w:proofErr w:type="spellEnd"/>
            <w:r w:rsidR="002F52B9">
              <w:t xml:space="preserve"> for cats)</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308" w:type="dxa"/>
          </w:tcPr>
          <w:p w:rsidR="00160911" w:rsidRDefault="002F52B9" w:rsidP="0000160B">
            <w:pPr>
              <w:pStyle w:val="ListParagraph"/>
              <w:ind w:left="0"/>
              <w:jc w:val="center"/>
            </w:pPr>
            <w:r>
              <w:t>x</w:t>
            </w:r>
          </w:p>
        </w:tc>
      </w:tr>
      <w:tr w:rsidR="00160911" w:rsidTr="00160911">
        <w:tc>
          <w:tcPr>
            <w:tcW w:w="7043" w:type="dxa"/>
          </w:tcPr>
          <w:p w:rsidR="00160911" w:rsidRDefault="008D193A" w:rsidP="00160911">
            <w:pPr>
              <w:pStyle w:val="ListParagraph"/>
              <w:ind w:left="0"/>
            </w:pPr>
            <w:r>
              <w:t>10% Discount on all further medications and medical treatments, including afterhours fees</w:t>
            </w:r>
          </w:p>
        </w:tc>
        <w:tc>
          <w:tcPr>
            <w:tcW w:w="1276" w:type="dxa"/>
          </w:tcPr>
          <w:p w:rsidR="00160911" w:rsidRDefault="002F52B9" w:rsidP="0000160B">
            <w:pPr>
              <w:pStyle w:val="ListParagraph"/>
              <w:ind w:left="0"/>
              <w:jc w:val="center"/>
            </w:pPr>
            <w:r>
              <w:t>x</w:t>
            </w:r>
          </w:p>
        </w:tc>
        <w:tc>
          <w:tcPr>
            <w:tcW w:w="1275"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276" w:type="dxa"/>
          </w:tcPr>
          <w:p w:rsidR="00160911" w:rsidRDefault="002F52B9" w:rsidP="0000160B">
            <w:pPr>
              <w:pStyle w:val="ListParagraph"/>
              <w:ind w:left="0"/>
              <w:jc w:val="center"/>
            </w:pPr>
            <w:r>
              <w:t>x</w:t>
            </w:r>
          </w:p>
        </w:tc>
        <w:tc>
          <w:tcPr>
            <w:tcW w:w="1308" w:type="dxa"/>
          </w:tcPr>
          <w:p w:rsidR="00160911" w:rsidRDefault="002F52B9" w:rsidP="0000160B">
            <w:pPr>
              <w:pStyle w:val="ListParagraph"/>
              <w:ind w:left="0"/>
              <w:jc w:val="center"/>
            </w:pPr>
            <w:r>
              <w:t>x</w:t>
            </w:r>
          </w:p>
        </w:tc>
      </w:tr>
      <w:tr w:rsidR="00160911" w:rsidTr="002F52B9">
        <w:tc>
          <w:tcPr>
            <w:tcW w:w="7043" w:type="dxa"/>
          </w:tcPr>
          <w:p w:rsidR="008D193A" w:rsidRDefault="008D193A" w:rsidP="00160911">
            <w:pPr>
              <w:pStyle w:val="ListParagraph"/>
              <w:ind w:left="0"/>
            </w:pPr>
            <w:r>
              <w:t>Quarterly preventatives:</w:t>
            </w:r>
          </w:p>
          <w:p w:rsidR="00160911" w:rsidRDefault="008D193A" w:rsidP="008D193A">
            <w:pPr>
              <w:pStyle w:val="ListParagraph"/>
              <w:numPr>
                <w:ilvl w:val="0"/>
                <w:numId w:val="3"/>
              </w:numPr>
            </w:pPr>
            <w:proofErr w:type="spellStart"/>
            <w:r>
              <w:t>Proheart</w:t>
            </w:r>
            <w:proofErr w:type="spellEnd"/>
            <w:r>
              <w:t xml:space="preserve"> Injection</w:t>
            </w:r>
          </w:p>
          <w:p w:rsidR="008D193A" w:rsidRDefault="008D193A" w:rsidP="008D193A">
            <w:pPr>
              <w:pStyle w:val="ListParagraph"/>
              <w:numPr>
                <w:ilvl w:val="0"/>
                <w:numId w:val="3"/>
              </w:numPr>
            </w:pPr>
            <w:proofErr w:type="spellStart"/>
            <w:r>
              <w:t>Bravecto</w:t>
            </w:r>
            <w:proofErr w:type="spellEnd"/>
            <w:r>
              <w:t xml:space="preserve"> Chews</w:t>
            </w:r>
          </w:p>
          <w:p w:rsidR="008D193A" w:rsidRDefault="002F52B9" w:rsidP="008D193A">
            <w:pPr>
              <w:pStyle w:val="ListParagraph"/>
              <w:numPr>
                <w:ilvl w:val="0"/>
                <w:numId w:val="3"/>
              </w:numPr>
            </w:pPr>
            <w:r>
              <w:t>Intestinal wormer</w:t>
            </w:r>
          </w:p>
        </w:tc>
        <w:tc>
          <w:tcPr>
            <w:tcW w:w="1276" w:type="dxa"/>
            <w:shd w:val="clear" w:color="auto" w:fill="D9D9D9" w:themeFill="background1" w:themeFillShade="D9"/>
          </w:tcPr>
          <w:p w:rsidR="00160911" w:rsidRDefault="00160911" w:rsidP="0000160B">
            <w:pPr>
              <w:pStyle w:val="ListParagraph"/>
              <w:ind w:left="0"/>
              <w:jc w:val="center"/>
            </w:pPr>
          </w:p>
        </w:tc>
        <w:tc>
          <w:tcPr>
            <w:tcW w:w="1275" w:type="dxa"/>
            <w:shd w:val="clear" w:color="auto" w:fill="D9D9D9" w:themeFill="background1" w:themeFillShade="D9"/>
          </w:tcPr>
          <w:p w:rsidR="00160911" w:rsidRDefault="00160911" w:rsidP="0000160B">
            <w:pPr>
              <w:pStyle w:val="ListParagraph"/>
              <w:ind w:left="0"/>
              <w:jc w:val="center"/>
            </w:pPr>
          </w:p>
        </w:tc>
        <w:tc>
          <w:tcPr>
            <w:tcW w:w="1276" w:type="dxa"/>
          </w:tcPr>
          <w:p w:rsidR="00160911" w:rsidRDefault="002F52B9" w:rsidP="0000160B">
            <w:pPr>
              <w:pStyle w:val="ListParagraph"/>
              <w:ind w:left="0"/>
              <w:jc w:val="center"/>
            </w:pPr>
            <w:r>
              <w:t>x</w:t>
            </w:r>
          </w:p>
        </w:tc>
        <w:tc>
          <w:tcPr>
            <w:tcW w:w="1276" w:type="dxa"/>
            <w:shd w:val="clear" w:color="auto" w:fill="D9D9D9" w:themeFill="background1" w:themeFillShade="D9"/>
          </w:tcPr>
          <w:p w:rsidR="00160911" w:rsidRDefault="00160911" w:rsidP="0000160B">
            <w:pPr>
              <w:pStyle w:val="ListParagraph"/>
              <w:ind w:left="0"/>
              <w:jc w:val="center"/>
            </w:pPr>
          </w:p>
        </w:tc>
        <w:tc>
          <w:tcPr>
            <w:tcW w:w="1308" w:type="dxa"/>
            <w:shd w:val="clear" w:color="auto" w:fill="D9D9D9" w:themeFill="background1" w:themeFillShade="D9"/>
          </w:tcPr>
          <w:p w:rsidR="00160911" w:rsidRDefault="00160911" w:rsidP="0000160B">
            <w:pPr>
              <w:pStyle w:val="ListParagraph"/>
              <w:ind w:left="0"/>
              <w:jc w:val="center"/>
            </w:pPr>
          </w:p>
        </w:tc>
      </w:tr>
      <w:tr w:rsidR="00160911" w:rsidTr="002F52B9">
        <w:tc>
          <w:tcPr>
            <w:tcW w:w="7043" w:type="dxa"/>
          </w:tcPr>
          <w:p w:rsidR="00160911" w:rsidRDefault="008D193A" w:rsidP="00160911">
            <w:pPr>
              <w:pStyle w:val="ListParagraph"/>
              <w:ind w:left="0"/>
            </w:pPr>
            <w:r>
              <w:t>Quarterly preventatives:</w:t>
            </w:r>
          </w:p>
          <w:p w:rsidR="008D193A" w:rsidRDefault="008D193A" w:rsidP="008D193A">
            <w:pPr>
              <w:pStyle w:val="ListParagraph"/>
              <w:numPr>
                <w:ilvl w:val="0"/>
                <w:numId w:val="3"/>
              </w:numPr>
            </w:pPr>
            <w:proofErr w:type="spellStart"/>
            <w:r>
              <w:t>Nexgard</w:t>
            </w:r>
            <w:proofErr w:type="spellEnd"/>
            <w:r>
              <w:t xml:space="preserve"> Spectra</w:t>
            </w:r>
          </w:p>
        </w:tc>
        <w:tc>
          <w:tcPr>
            <w:tcW w:w="1276" w:type="dxa"/>
            <w:shd w:val="clear" w:color="auto" w:fill="D9D9D9" w:themeFill="background1" w:themeFillShade="D9"/>
          </w:tcPr>
          <w:p w:rsidR="00160911" w:rsidRDefault="00160911" w:rsidP="0000160B">
            <w:pPr>
              <w:pStyle w:val="ListParagraph"/>
              <w:ind w:left="0"/>
              <w:jc w:val="center"/>
            </w:pPr>
          </w:p>
        </w:tc>
        <w:tc>
          <w:tcPr>
            <w:tcW w:w="1275" w:type="dxa"/>
            <w:shd w:val="clear" w:color="auto" w:fill="D9D9D9" w:themeFill="background1" w:themeFillShade="D9"/>
          </w:tcPr>
          <w:p w:rsidR="00160911" w:rsidRDefault="00160911" w:rsidP="0000160B">
            <w:pPr>
              <w:pStyle w:val="ListParagraph"/>
              <w:ind w:left="0"/>
              <w:jc w:val="center"/>
            </w:pPr>
          </w:p>
        </w:tc>
        <w:tc>
          <w:tcPr>
            <w:tcW w:w="1276" w:type="dxa"/>
            <w:shd w:val="clear" w:color="auto" w:fill="D9D9D9" w:themeFill="background1" w:themeFillShade="D9"/>
          </w:tcPr>
          <w:p w:rsidR="00160911" w:rsidRDefault="00160911" w:rsidP="0000160B">
            <w:pPr>
              <w:pStyle w:val="ListParagraph"/>
              <w:ind w:left="0"/>
              <w:jc w:val="center"/>
            </w:pPr>
          </w:p>
        </w:tc>
        <w:tc>
          <w:tcPr>
            <w:tcW w:w="1276" w:type="dxa"/>
          </w:tcPr>
          <w:p w:rsidR="00160911" w:rsidRDefault="002F52B9" w:rsidP="0000160B">
            <w:pPr>
              <w:pStyle w:val="ListParagraph"/>
              <w:ind w:left="0"/>
              <w:jc w:val="center"/>
            </w:pPr>
            <w:r>
              <w:t>x</w:t>
            </w:r>
          </w:p>
        </w:tc>
        <w:tc>
          <w:tcPr>
            <w:tcW w:w="1308" w:type="dxa"/>
            <w:shd w:val="clear" w:color="auto" w:fill="D9D9D9" w:themeFill="background1" w:themeFillShade="D9"/>
          </w:tcPr>
          <w:p w:rsidR="00160911" w:rsidRDefault="00160911" w:rsidP="0000160B">
            <w:pPr>
              <w:pStyle w:val="ListParagraph"/>
              <w:ind w:left="0"/>
              <w:jc w:val="center"/>
            </w:pPr>
          </w:p>
        </w:tc>
      </w:tr>
      <w:tr w:rsidR="008D193A" w:rsidTr="002F52B9">
        <w:tc>
          <w:tcPr>
            <w:tcW w:w="7043" w:type="dxa"/>
          </w:tcPr>
          <w:p w:rsidR="008D193A" w:rsidRDefault="008D193A" w:rsidP="00160911">
            <w:pPr>
              <w:pStyle w:val="ListParagraph"/>
              <w:ind w:left="0"/>
            </w:pPr>
            <w:r>
              <w:t>Quarterly preventatives:</w:t>
            </w:r>
          </w:p>
          <w:p w:rsidR="008D193A" w:rsidRDefault="008D193A" w:rsidP="008D193A">
            <w:pPr>
              <w:pStyle w:val="ListParagraph"/>
              <w:numPr>
                <w:ilvl w:val="0"/>
                <w:numId w:val="3"/>
              </w:numPr>
            </w:pPr>
            <w:proofErr w:type="spellStart"/>
            <w:r>
              <w:t>Bravecto</w:t>
            </w:r>
            <w:proofErr w:type="spellEnd"/>
            <w:r>
              <w:t xml:space="preserve"> Spot On</w:t>
            </w:r>
          </w:p>
          <w:p w:rsidR="008D193A" w:rsidRDefault="002F52B9" w:rsidP="008D193A">
            <w:pPr>
              <w:pStyle w:val="ListParagraph"/>
              <w:numPr>
                <w:ilvl w:val="0"/>
                <w:numId w:val="3"/>
              </w:numPr>
            </w:pPr>
            <w:proofErr w:type="spellStart"/>
            <w:r>
              <w:t>Milbemax</w:t>
            </w:r>
            <w:proofErr w:type="spellEnd"/>
            <w:r>
              <w:t xml:space="preserve"> </w:t>
            </w:r>
            <w:proofErr w:type="spellStart"/>
            <w:r>
              <w:t>Allwormer</w:t>
            </w:r>
            <w:proofErr w:type="spellEnd"/>
          </w:p>
          <w:p w:rsidR="002F52B9" w:rsidRDefault="002F52B9" w:rsidP="008D193A">
            <w:pPr>
              <w:pStyle w:val="ListParagraph"/>
              <w:numPr>
                <w:ilvl w:val="0"/>
                <w:numId w:val="3"/>
              </w:numPr>
            </w:pPr>
            <w:proofErr w:type="spellStart"/>
            <w:r>
              <w:t>Popantel</w:t>
            </w:r>
            <w:proofErr w:type="spellEnd"/>
            <w:r>
              <w:t xml:space="preserve"> </w:t>
            </w:r>
            <w:proofErr w:type="spellStart"/>
            <w:r>
              <w:t>Tapewormer</w:t>
            </w:r>
            <w:proofErr w:type="spellEnd"/>
          </w:p>
        </w:tc>
        <w:tc>
          <w:tcPr>
            <w:tcW w:w="1276" w:type="dxa"/>
            <w:shd w:val="clear" w:color="auto" w:fill="D9D9D9" w:themeFill="background1" w:themeFillShade="D9"/>
          </w:tcPr>
          <w:p w:rsidR="008D193A" w:rsidRDefault="008D193A" w:rsidP="0000160B">
            <w:pPr>
              <w:pStyle w:val="ListParagraph"/>
              <w:ind w:left="0"/>
              <w:jc w:val="center"/>
            </w:pPr>
          </w:p>
        </w:tc>
        <w:tc>
          <w:tcPr>
            <w:tcW w:w="1275" w:type="dxa"/>
            <w:shd w:val="clear" w:color="auto" w:fill="D9D9D9" w:themeFill="background1" w:themeFillShade="D9"/>
          </w:tcPr>
          <w:p w:rsidR="008D193A" w:rsidRDefault="008D193A" w:rsidP="0000160B">
            <w:pPr>
              <w:pStyle w:val="ListParagraph"/>
              <w:ind w:left="0"/>
              <w:jc w:val="center"/>
            </w:pPr>
          </w:p>
        </w:tc>
        <w:tc>
          <w:tcPr>
            <w:tcW w:w="1276" w:type="dxa"/>
            <w:shd w:val="clear" w:color="auto" w:fill="D9D9D9" w:themeFill="background1" w:themeFillShade="D9"/>
          </w:tcPr>
          <w:p w:rsidR="008D193A" w:rsidRDefault="008D193A" w:rsidP="0000160B">
            <w:pPr>
              <w:pStyle w:val="ListParagraph"/>
              <w:ind w:left="0"/>
              <w:jc w:val="center"/>
            </w:pPr>
          </w:p>
        </w:tc>
        <w:tc>
          <w:tcPr>
            <w:tcW w:w="1276" w:type="dxa"/>
            <w:shd w:val="clear" w:color="auto" w:fill="D9D9D9" w:themeFill="background1" w:themeFillShade="D9"/>
          </w:tcPr>
          <w:p w:rsidR="008D193A" w:rsidRDefault="008D193A" w:rsidP="0000160B">
            <w:pPr>
              <w:pStyle w:val="ListParagraph"/>
              <w:ind w:left="0"/>
              <w:jc w:val="center"/>
            </w:pPr>
          </w:p>
        </w:tc>
        <w:tc>
          <w:tcPr>
            <w:tcW w:w="1308" w:type="dxa"/>
          </w:tcPr>
          <w:p w:rsidR="008D193A" w:rsidRDefault="002F52B9" w:rsidP="0000160B">
            <w:pPr>
              <w:pStyle w:val="ListParagraph"/>
              <w:ind w:left="0"/>
              <w:jc w:val="center"/>
            </w:pPr>
            <w:r>
              <w:t>x</w:t>
            </w:r>
          </w:p>
        </w:tc>
      </w:tr>
      <w:tr w:rsidR="002F52B9" w:rsidTr="00160911">
        <w:tc>
          <w:tcPr>
            <w:tcW w:w="7043" w:type="dxa"/>
          </w:tcPr>
          <w:p w:rsidR="002F52B9" w:rsidRPr="00F825B8" w:rsidRDefault="002F52B9" w:rsidP="00160911">
            <w:pPr>
              <w:pStyle w:val="ListParagraph"/>
              <w:ind w:left="0"/>
              <w:rPr>
                <w:b/>
              </w:rPr>
            </w:pPr>
            <w:r w:rsidRPr="00F825B8">
              <w:rPr>
                <w:b/>
              </w:rPr>
              <w:t xml:space="preserve">TOTAL COST </w:t>
            </w:r>
          </w:p>
          <w:p w:rsidR="002F52B9" w:rsidRPr="00F825B8" w:rsidRDefault="002F52B9" w:rsidP="00160911">
            <w:pPr>
              <w:pStyle w:val="ListParagraph"/>
              <w:ind w:left="0"/>
              <w:rPr>
                <w:i/>
              </w:rPr>
            </w:pPr>
            <w:r w:rsidRPr="00F825B8">
              <w:rPr>
                <w:i/>
              </w:rPr>
              <w:t>Total cost can be paid in full, or split by the following options:</w:t>
            </w:r>
          </w:p>
          <w:p w:rsidR="002F52B9" w:rsidRPr="00F825B8" w:rsidRDefault="002F52B9" w:rsidP="00160911">
            <w:pPr>
              <w:pStyle w:val="ListParagraph"/>
              <w:ind w:left="0"/>
              <w:rPr>
                <w:b/>
              </w:rPr>
            </w:pPr>
            <w:r w:rsidRPr="00F825B8">
              <w:rPr>
                <w:b/>
              </w:rPr>
              <w:t>INITIAL PAYMENT – paid at the time of joining</w:t>
            </w:r>
          </w:p>
          <w:p w:rsidR="002F52B9" w:rsidRPr="00F825B8" w:rsidRDefault="002F52B9" w:rsidP="00160911">
            <w:pPr>
              <w:pStyle w:val="ListParagraph"/>
              <w:ind w:left="0"/>
              <w:rPr>
                <w:i/>
              </w:rPr>
            </w:pPr>
            <w:r w:rsidRPr="00F825B8">
              <w:rPr>
                <w:i/>
              </w:rPr>
              <w:t>Plus one of the following:</w:t>
            </w:r>
          </w:p>
          <w:p w:rsidR="002F52B9" w:rsidRPr="00F825B8" w:rsidRDefault="002F52B9" w:rsidP="00160911">
            <w:pPr>
              <w:pStyle w:val="ListParagraph"/>
              <w:ind w:left="0"/>
              <w:rPr>
                <w:b/>
              </w:rPr>
            </w:pPr>
            <w:r w:rsidRPr="00F825B8">
              <w:rPr>
                <w:b/>
              </w:rPr>
              <w:t>MONTHLY PAYMENT OPTION (11 payments over 11 months)</w:t>
            </w:r>
          </w:p>
          <w:p w:rsidR="002F52B9" w:rsidRDefault="002F52B9" w:rsidP="00160911">
            <w:pPr>
              <w:pStyle w:val="ListParagraph"/>
              <w:ind w:left="0"/>
              <w:rPr>
                <w:b/>
              </w:rPr>
            </w:pPr>
            <w:r w:rsidRPr="00F825B8">
              <w:rPr>
                <w:b/>
              </w:rPr>
              <w:t>FORTNIGHTLY PAYMENT OPTION (22 payments over 11 months)</w:t>
            </w:r>
          </w:p>
          <w:p w:rsidR="00F825B8" w:rsidRPr="00F825B8" w:rsidRDefault="00F825B8" w:rsidP="00160911">
            <w:pPr>
              <w:pStyle w:val="ListParagraph"/>
              <w:ind w:left="0"/>
              <w:rPr>
                <w:i/>
              </w:rPr>
            </w:pPr>
            <w:r>
              <w:rPr>
                <w:i/>
              </w:rPr>
              <w:t>Fortnightly option not available on Basics Plans</w:t>
            </w:r>
            <w:bookmarkStart w:id="0" w:name="_GoBack"/>
            <w:bookmarkEnd w:id="0"/>
          </w:p>
        </w:tc>
        <w:tc>
          <w:tcPr>
            <w:tcW w:w="1276" w:type="dxa"/>
          </w:tcPr>
          <w:p w:rsidR="002F52B9" w:rsidRDefault="002F52B9" w:rsidP="0000160B">
            <w:pPr>
              <w:pStyle w:val="ListParagraph"/>
              <w:ind w:left="0"/>
              <w:jc w:val="center"/>
            </w:pPr>
            <w:r>
              <w:t>$ 600.00</w:t>
            </w:r>
          </w:p>
          <w:p w:rsidR="002F52B9" w:rsidRDefault="002F52B9" w:rsidP="0000160B">
            <w:pPr>
              <w:pStyle w:val="ListParagraph"/>
              <w:ind w:left="0"/>
              <w:jc w:val="center"/>
            </w:pPr>
          </w:p>
          <w:p w:rsidR="002F52B9" w:rsidRDefault="002F52B9" w:rsidP="0000160B">
            <w:pPr>
              <w:pStyle w:val="ListParagraph"/>
              <w:ind w:left="0"/>
              <w:jc w:val="center"/>
            </w:pPr>
            <w:r>
              <w:t>$ 116.00</w:t>
            </w:r>
          </w:p>
          <w:p w:rsidR="002F52B9" w:rsidRDefault="002F52B9" w:rsidP="0000160B">
            <w:pPr>
              <w:pStyle w:val="ListParagraph"/>
              <w:ind w:left="0"/>
              <w:jc w:val="center"/>
            </w:pPr>
          </w:p>
          <w:p w:rsidR="002F52B9" w:rsidRDefault="002F52B9" w:rsidP="0000160B">
            <w:pPr>
              <w:pStyle w:val="ListParagraph"/>
              <w:ind w:left="0"/>
              <w:jc w:val="center"/>
            </w:pPr>
            <w:r>
              <w:t>$   44.00</w:t>
            </w:r>
          </w:p>
          <w:p w:rsidR="002F52B9" w:rsidRDefault="002F52B9" w:rsidP="0000160B">
            <w:pPr>
              <w:pStyle w:val="ListParagraph"/>
              <w:ind w:left="0"/>
              <w:jc w:val="center"/>
            </w:pPr>
            <w:r>
              <w:t>$   22.00</w:t>
            </w:r>
          </w:p>
        </w:tc>
        <w:tc>
          <w:tcPr>
            <w:tcW w:w="1275" w:type="dxa"/>
          </w:tcPr>
          <w:p w:rsidR="002F52B9" w:rsidRDefault="002F52B9" w:rsidP="002F52B9">
            <w:pPr>
              <w:pStyle w:val="ListParagraph"/>
              <w:ind w:left="0"/>
              <w:jc w:val="center"/>
            </w:pPr>
            <w:r>
              <w:t>$ 600.00</w:t>
            </w:r>
          </w:p>
          <w:p w:rsidR="002F52B9" w:rsidRDefault="002F52B9" w:rsidP="002F52B9">
            <w:pPr>
              <w:pStyle w:val="ListParagraph"/>
              <w:ind w:left="0"/>
              <w:jc w:val="center"/>
            </w:pPr>
          </w:p>
          <w:p w:rsidR="002F52B9" w:rsidRDefault="002F52B9" w:rsidP="002F52B9">
            <w:pPr>
              <w:pStyle w:val="ListParagraph"/>
              <w:ind w:left="0"/>
              <w:jc w:val="center"/>
            </w:pPr>
            <w:r>
              <w:t>$ 116.00</w:t>
            </w:r>
          </w:p>
          <w:p w:rsidR="002F52B9" w:rsidRDefault="002F52B9" w:rsidP="002F52B9">
            <w:pPr>
              <w:pStyle w:val="ListParagraph"/>
              <w:ind w:left="0"/>
              <w:jc w:val="center"/>
            </w:pPr>
          </w:p>
          <w:p w:rsidR="002F52B9" w:rsidRDefault="002F52B9" w:rsidP="002F52B9">
            <w:pPr>
              <w:pStyle w:val="ListParagraph"/>
              <w:ind w:left="0"/>
              <w:jc w:val="center"/>
            </w:pPr>
            <w:r>
              <w:t>$   44.00</w:t>
            </w:r>
          </w:p>
          <w:p w:rsidR="002F52B9" w:rsidRDefault="002F52B9" w:rsidP="002F52B9">
            <w:pPr>
              <w:pStyle w:val="ListParagraph"/>
              <w:ind w:left="0"/>
              <w:jc w:val="center"/>
            </w:pPr>
            <w:r>
              <w:t>$   22.00</w:t>
            </w:r>
          </w:p>
        </w:tc>
        <w:tc>
          <w:tcPr>
            <w:tcW w:w="1276" w:type="dxa"/>
          </w:tcPr>
          <w:p w:rsidR="002F52B9" w:rsidRDefault="002F52B9" w:rsidP="0000160B">
            <w:pPr>
              <w:pStyle w:val="ListParagraph"/>
              <w:ind w:left="0"/>
              <w:jc w:val="center"/>
            </w:pPr>
            <w:r>
              <w:t>$ 500.00</w:t>
            </w:r>
          </w:p>
          <w:p w:rsidR="002F52B9" w:rsidRDefault="002F52B9" w:rsidP="0000160B">
            <w:pPr>
              <w:pStyle w:val="ListParagraph"/>
              <w:ind w:left="0"/>
              <w:jc w:val="center"/>
            </w:pPr>
          </w:p>
          <w:p w:rsidR="002F52B9" w:rsidRDefault="002F52B9" w:rsidP="0000160B">
            <w:pPr>
              <w:pStyle w:val="ListParagraph"/>
              <w:ind w:left="0"/>
              <w:jc w:val="center"/>
            </w:pPr>
            <w:r>
              <w:t>$ 115.00</w:t>
            </w:r>
          </w:p>
          <w:p w:rsidR="002F52B9" w:rsidRDefault="002F52B9" w:rsidP="0000160B">
            <w:pPr>
              <w:pStyle w:val="ListParagraph"/>
              <w:ind w:left="0"/>
              <w:jc w:val="center"/>
            </w:pPr>
          </w:p>
          <w:p w:rsidR="002F52B9" w:rsidRDefault="002F52B9" w:rsidP="0000160B">
            <w:pPr>
              <w:pStyle w:val="ListParagraph"/>
              <w:ind w:left="0"/>
              <w:jc w:val="center"/>
            </w:pPr>
            <w:r>
              <w:t>$   35.00</w:t>
            </w:r>
          </w:p>
          <w:p w:rsidR="002F52B9" w:rsidRPr="00F825B8" w:rsidRDefault="002F52B9" w:rsidP="0000160B">
            <w:pPr>
              <w:pStyle w:val="ListParagraph"/>
              <w:ind w:left="0"/>
              <w:jc w:val="center"/>
              <w:rPr>
                <w:b/>
              </w:rPr>
            </w:pPr>
            <w:r w:rsidRPr="00F825B8">
              <w:rPr>
                <w:b/>
              </w:rPr>
              <w:t>N/A</w:t>
            </w:r>
          </w:p>
        </w:tc>
        <w:tc>
          <w:tcPr>
            <w:tcW w:w="1276" w:type="dxa"/>
          </w:tcPr>
          <w:p w:rsidR="002F52B9" w:rsidRDefault="002F52B9" w:rsidP="002F52B9">
            <w:pPr>
              <w:pStyle w:val="ListParagraph"/>
              <w:ind w:left="0"/>
              <w:jc w:val="center"/>
            </w:pPr>
            <w:r>
              <w:t>$ 500.00</w:t>
            </w:r>
          </w:p>
          <w:p w:rsidR="002F52B9" w:rsidRDefault="002F52B9" w:rsidP="002F52B9">
            <w:pPr>
              <w:pStyle w:val="ListParagraph"/>
              <w:ind w:left="0"/>
              <w:jc w:val="center"/>
            </w:pPr>
          </w:p>
          <w:p w:rsidR="002F52B9" w:rsidRDefault="002F52B9" w:rsidP="002F52B9">
            <w:pPr>
              <w:pStyle w:val="ListParagraph"/>
              <w:ind w:left="0"/>
              <w:jc w:val="center"/>
            </w:pPr>
            <w:r>
              <w:t>$ 115.00</w:t>
            </w:r>
          </w:p>
          <w:p w:rsidR="002F52B9" w:rsidRDefault="002F52B9" w:rsidP="002F52B9">
            <w:pPr>
              <w:pStyle w:val="ListParagraph"/>
              <w:ind w:left="0"/>
              <w:jc w:val="center"/>
            </w:pPr>
          </w:p>
          <w:p w:rsidR="002F52B9" w:rsidRDefault="002F52B9" w:rsidP="002F52B9">
            <w:pPr>
              <w:pStyle w:val="ListParagraph"/>
              <w:ind w:left="0"/>
              <w:jc w:val="center"/>
            </w:pPr>
            <w:r>
              <w:t>$   35.00</w:t>
            </w:r>
          </w:p>
          <w:p w:rsidR="002F52B9" w:rsidRPr="00F825B8" w:rsidRDefault="002F52B9" w:rsidP="002F52B9">
            <w:pPr>
              <w:pStyle w:val="ListParagraph"/>
              <w:ind w:left="0"/>
              <w:jc w:val="center"/>
              <w:rPr>
                <w:b/>
              </w:rPr>
            </w:pPr>
            <w:r w:rsidRPr="00F825B8">
              <w:rPr>
                <w:b/>
              </w:rPr>
              <w:t>N/A</w:t>
            </w:r>
          </w:p>
        </w:tc>
        <w:tc>
          <w:tcPr>
            <w:tcW w:w="1308" w:type="dxa"/>
          </w:tcPr>
          <w:p w:rsidR="002F52B9" w:rsidRDefault="002F52B9" w:rsidP="002F52B9">
            <w:pPr>
              <w:pStyle w:val="ListParagraph"/>
              <w:ind w:left="0"/>
              <w:jc w:val="center"/>
            </w:pPr>
            <w:r>
              <w:t xml:space="preserve">$ </w:t>
            </w:r>
            <w:r>
              <w:t>35</w:t>
            </w:r>
            <w:r>
              <w:t>0.00</w:t>
            </w:r>
          </w:p>
          <w:p w:rsidR="002F52B9" w:rsidRDefault="002F52B9" w:rsidP="002F52B9">
            <w:pPr>
              <w:pStyle w:val="ListParagraph"/>
              <w:ind w:left="0"/>
              <w:jc w:val="center"/>
            </w:pPr>
          </w:p>
          <w:p w:rsidR="002F52B9" w:rsidRDefault="002F52B9" w:rsidP="002F52B9">
            <w:pPr>
              <w:pStyle w:val="ListParagraph"/>
              <w:ind w:left="0"/>
              <w:jc w:val="center"/>
            </w:pPr>
            <w:r>
              <w:t>$ 108</w:t>
            </w:r>
            <w:r>
              <w:t>.00</w:t>
            </w:r>
          </w:p>
          <w:p w:rsidR="002F52B9" w:rsidRDefault="002F52B9" w:rsidP="002F52B9">
            <w:pPr>
              <w:pStyle w:val="ListParagraph"/>
              <w:ind w:left="0"/>
              <w:jc w:val="center"/>
            </w:pPr>
          </w:p>
          <w:p w:rsidR="002F52B9" w:rsidRDefault="002F52B9" w:rsidP="002F52B9">
            <w:pPr>
              <w:pStyle w:val="ListParagraph"/>
              <w:ind w:left="0"/>
              <w:jc w:val="center"/>
            </w:pPr>
            <w:r>
              <w:t>$   22</w:t>
            </w:r>
            <w:r>
              <w:t>.00</w:t>
            </w:r>
          </w:p>
          <w:p w:rsidR="002F52B9" w:rsidRPr="00F825B8" w:rsidRDefault="002F52B9" w:rsidP="002F52B9">
            <w:pPr>
              <w:pStyle w:val="ListParagraph"/>
              <w:ind w:left="0"/>
              <w:jc w:val="center"/>
              <w:rPr>
                <w:b/>
              </w:rPr>
            </w:pPr>
            <w:r w:rsidRPr="00F825B8">
              <w:rPr>
                <w:b/>
              </w:rPr>
              <w:t>N/A</w:t>
            </w:r>
          </w:p>
        </w:tc>
      </w:tr>
    </w:tbl>
    <w:p w:rsidR="0000160B" w:rsidRDefault="0000160B" w:rsidP="0000160B">
      <w:pPr>
        <w:pStyle w:val="ListParagraph"/>
        <w:jc w:val="center"/>
      </w:pPr>
    </w:p>
    <w:p w:rsidR="0000160B" w:rsidRDefault="0000160B" w:rsidP="0000160B">
      <w:pPr>
        <w:pStyle w:val="ListParagraph"/>
        <w:ind w:left="0"/>
      </w:pPr>
    </w:p>
    <w:p w:rsidR="0000160B" w:rsidRDefault="0000160B" w:rsidP="0000160B">
      <w:pPr>
        <w:pStyle w:val="ListParagraph"/>
        <w:ind w:left="0"/>
      </w:pPr>
    </w:p>
    <w:sectPr w:rsidR="0000160B" w:rsidSect="00ED36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0A0"/>
    <w:multiLevelType w:val="hybridMultilevel"/>
    <w:tmpl w:val="7B889FFC"/>
    <w:lvl w:ilvl="0" w:tplc="833ADC5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AD053A"/>
    <w:multiLevelType w:val="hybridMultilevel"/>
    <w:tmpl w:val="BD9C8D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A28770C"/>
    <w:multiLevelType w:val="hybridMultilevel"/>
    <w:tmpl w:val="97CE3A70"/>
    <w:lvl w:ilvl="0" w:tplc="833ADC5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52"/>
    <w:rsid w:val="0000160B"/>
    <w:rsid w:val="00160911"/>
    <w:rsid w:val="002F52B9"/>
    <w:rsid w:val="005E334E"/>
    <w:rsid w:val="008D193A"/>
    <w:rsid w:val="00ED3652"/>
    <w:rsid w:val="00F8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52"/>
    <w:pPr>
      <w:ind w:left="720"/>
      <w:contextualSpacing/>
    </w:pPr>
  </w:style>
  <w:style w:type="table" w:styleId="TableGrid">
    <w:name w:val="Table Grid"/>
    <w:basedOn w:val="TableNormal"/>
    <w:uiPriority w:val="59"/>
    <w:rsid w:val="0016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52"/>
    <w:pPr>
      <w:ind w:left="720"/>
      <w:contextualSpacing/>
    </w:pPr>
  </w:style>
  <w:style w:type="table" w:styleId="TableGrid">
    <w:name w:val="Table Grid"/>
    <w:basedOn w:val="TableNormal"/>
    <w:uiPriority w:val="59"/>
    <w:rsid w:val="0016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2019-02-15T01:50:00Z</dcterms:created>
  <dcterms:modified xsi:type="dcterms:W3CDTF">2019-02-15T02:54:00Z</dcterms:modified>
</cp:coreProperties>
</file>